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6C5648" w:rsidRDefault="00DB2DA3" w:rsidP="00BF2165">
      <w:pPr>
        <w:jc w:val="center"/>
        <w:rPr>
          <w:rFonts w:ascii="Arial" w:hAnsi="Arial" w:cs="Arial"/>
          <w:sz w:val="20"/>
          <w:szCs w:val="20"/>
        </w:rPr>
      </w:pPr>
      <w:r>
        <w:rPr>
          <w:rFonts w:ascii="Arial" w:hAnsi="Arial" w:cs="Arial"/>
          <w:b/>
          <w:sz w:val="20"/>
          <w:szCs w:val="20"/>
        </w:rPr>
        <w:t>Emerging Technologies</w:t>
      </w: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proofErr w:type="spellStart"/>
            <w:r w:rsidRPr="006C5648">
              <w:rPr>
                <w:rFonts w:ascii="Arial" w:hAnsi="Arial" w:cs="Arial"/>
                <w:b/>
                <w:sz w:val="20"/>
                <w:szCs w:val="20"/>
              </w:rPr>
              <w:t>S.No</w:t>
            </w:r>
            <w:proofErr w:type="spellEnd"/>
            <w:r w:rsidRPr="006C5648">
              <w:rPr>
                <w:rFonts w:ascii="Arial" w:hAnsi="Arial" w:cs="Arial"/>
                <w:b/>
                <w:sz w:val="20"/>
                <w:szCs w:val="20"/>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RBI Notification</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6C5648">
            <w:pPr>
              <w:spacing w:line="240" w:lineRule="auto"/>
              <w:jc w:val="both"/>
              <w:rPr>
                <w:rFonts w:ascii="Calibri" w:hAnsi="Calibri" w:cs="Calibri"/>
                <w:color w:val="000000"/>
                <w:sz w:val="20"/>
                <w:szCs w:val="20"/>
              </w:rPr>
            </w:pPr>
            <w:r>
              <w:rPr>
                <w:rFonts w:ascii="Calibri" w:hAnsi="Calibri" w:cs="Calibri"/>
                <w:color w:val="000000"/>
                <w:sz w:val="20"/>
                <w:szCs w:val="20"/>
              </w:rPr>
              <w:t>Reserve Bank - Integrated Ombudsman Scheme, 2021 (RBIOS, 2021)</w:t>
            </w:r>
          </w:p>
        </w:tc>
      </w:tr>
      <w:tr w:rsidR="001747A0" w:rsidRPr="006C5648" w:rsidTr="00BF2165">
        <w:tc>
          <w:tcPr>
            <w:tcW w:w="846" w:type="dxa"/>
            <w:tcBorders>
              <w:top w:val="single" w:sz="4" w:space="0" w:color="auto"/>
              <w:left w:val="single" w:sz="4" w:space="0" w:color="auto"/>
              <w:bottom w:val="single" w:sz="4" w:space="0" w:color="auto"/>
              <w:right w:val="single" w:sz="4" w:space="0" w:color="auto"/>
            </w:tcBorders>
          </w:tcPr>
          <w:p w:rsidR="001747A0" w:rsidRPr="006C5648" w:rsidRDefault="001747A0"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747A0" w:rsidRDefault="006356D2">
            <w:pPr>
              <w:spacing w:line="240" w:lineRule="auto"/>
              <w:jc w:val="both"/>
              <w:rPr>
                <w:rFonts w:ascii="Calibri" w:hAnsi="Calibri" w:cs="Calibri"/>
                <w:color w:val="000000"/>
                <w:sz w:val="20"/>
                <w:szCs w:val="20"/>
              </w:rPr>
            </w:pPr>
            <w:r>
              <w:rPr>
                <w:rFonts w:ascii="Calibri" w:hAnsi="Calibri" w:cs="Calibri"/>
                <w:color w:val="000000"/>
                <w:sz w:val="20"/>
                <w:szCs w:val="20"/>
              </w:rPr>
              <w:t>Guidelines on Digital Lending</w:t>
            </w:r>
            <w:bookmarkStart w:id="0" w:name="_GoBack"/>
            <w:bookmarkEnd w:id="0"/>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6C5648">
            <w:pPr>
              <w:spacing w:line="240" w:lineRule="auto"/>
              <w:jc w:val="both"/>
              <w:rPr>
                <w:rFonts w:ascii="Calibri" w:hAnsi="Calibri" w:cs="Calibri"/>
                <w:color w:val="000000"/>
                <w:sz w:val="20"/>
                <w:szCs w:val="20"/>
              </w:rPr>
            </w:pPr>
            <w:r>
              <w:rPr>
                <w:rFonts w:ascii="Calibri" w:hAnsi="Calibri" w:cs="Calibri"/>
                <w:color w:val="000000"/>
                <w:sz w:val="20"/>
                <w:szCs w:val="20"/>
              </w:rPr>
              <w:t>Rupee Drawing Arrangement - Enabling Bharat Bill Payment System (BBPS) to process cross-border inbound Bill Payments</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710775">
            <w:pPr>
              <w:spacing w:line="240" w:lineRule="auto"/>
              <w:jc w:val="both"/>
              <w:rPr>
                <w:rFonts w:ascii="Calibri" w:hAnsi="Calibri" w:cs="Calibri"/>
                <w:color w:val="000000"/>
                <w:sz w:val="20"/>
                <w:szCs w:val="20"/>
              </w:rPr>
            </w:pPr>
            <w:r>
              <w:rPr>
                <w:rFonts w:ascii="Calibri" w:hAnsi="Calibri" w:cs="Calibri"/>
                <w:color w:val="000000"/>
                <w:sz w:val="20"/>
                <w:szCs w:val="20"/>
              </w:rPr>
              <w:t>Central Payments Fraud Information Registry – Migration of Reporting to DAKSH</w:t>
            </w:r>
          </w:p>
        </w:tc>
      </w:tr>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36265F" w:rsidRDefault="0036265F" w:rsidP="00245B30">
      <w:pPr>
        <w:spacing w:line="259" w:lineRule="auto"/>
        <w:rPr>
          <w:rFonts w:ascii="Arial" w:hAnsi="Arial" w:cs="Arial"/>
          <w:b/>
          <w:bCs/>
          <w:color w:val="000000"/>
          <w:sz w:val="20"/>
          <w:szCs w:val="20"/>
        </w:rPr>
      </w:pPr>
    </w:p>
    <w:p w:rsidR="00745312" w:rsidRDefault="00745312" w:rsidP="0036265F">
      <w:pPr>
        <w:spacing w:line="259" w:lineRule="auto"/>
        <w:rPr>
          <w:rFonts w:ascii="Arial" w:hAnsi="Arial" w:cs="Arial"/>
          <w:b/>
          <w:bCs/>
          <w:color w:val="000000"/>
          <w:sz w:val="20"/>
          <w:szCs w:val="20"/>
        </w:rPr>
      </w:pPr>
    </w:p>
    <w:p w:rsidR="00745312" w:rsidRDefault="00745312" w:rsidP="0036265F">
      <w:pPr>
        <w:spacing w:line="259" w:lineRule="auto"/>
        <w:rPr>
          <w:rFonts w:ascii="Arial" w:hAnsi="Arial" w:cs="Arial"/>
          <w:b/>
          <w:bCs/>
          <w:color w:val="000000"/>
          <w:sz w:val="20"/>
          <w:szCs w:val="20"/>
        </w:rPr>
      </w:pPr>
    </w:p>
    <w:p w:rsidR="00745312" w:rsidRDefault="00745312" w:rsidP="0036265F">
      <w:pPr>
        <w:spacing w:line="259" w:lineRule="auto"/>
        <w:rPr>
          <w:rFonts w:ascii="Arial" w:hAnsi="Arial" w:cs="Arial"/>
          <w:b/>
          <w:bCs/>
          <w:color w:val="000000"/>
          <w:sz w:val="20"/>
          <w:szCs w:val="20"/>
        </w:rPr>
      </w:pPr>
    </w:p>
    <w:p w:rsidR="00745312" w:rsidRDefault="00745312" w:rsidP="0036265F">
      <w:pPr>
        <w:spacing w:line="259" w:lineRule="auto"/>
        <w:rPr>
          <w:rFonts w:ascii="Arial" w:hAnsi="Arial" w:cs="Arial"/>
          <w:b/>
          <w:bCs/>
          <w:color w:val="000000"/>
          <w:sz w:val="20"/>
          <w:szCs w:val="20"/>
        </w:rPr>
      </w:pPr>
    </w:p>
    <w:p w:rsidR="00745312" w:rsidRDefault="00745312" w:rsidP="0036265F">
      <w:pPr>
        <w:spacing w:line="259" w:lineRule="auto"/>
        <w:rPr>
          <w:rFonts w:ascii="Arial" w:hAnsi="Arial" w:cs="Arial"/>
          <w:b/>
          <w:bCs/>
          <w:color w:val="000000"/>
          <w:sz w:val="20"/>
          <w:szCs w:val="20"/>
        </w:rPr>
      </w:pPr>
    </w:p>
    <w:p w:rsidR="00436D36" w:rsidRPr="0036265F" w:rsidRDefault="00436D36" w:rsidP="0036265F">
      <w:pPr>
        <w:spacing w:line="259" w:lineRule="auto"/>
        <w:rPr>
          <w:rFonts w:ascii="Arial" w:hAnsi="Arial" w:cs="Arial"/>
          <w:bCs/>
          <w:color w:val="000000"/>
          <w:sz w:val="20"/>
          <w:szCs w:val="20"/>
        </w:rPr>
      </w:pPr>
      <w:r>
        <w:rPr>
          <w:rFonts w:ascii="Arial" w:hAnsi="Arial" w:cs="Arial"/>
          <w:b/>
          <w:bCs/>
          <w:color w:val="000000"/>
          <w:sz w:val="20"/>
          <w:szCs w:val="20"/>
        </w:rPr>
        <w:t>Reserve Bank - Integrated Ombudsman Scheme, 2021 (RBIOS, 2021)</w:t>
      </w:r>
    </w:p>
    <w:p w:rsidR="00436D36" w:rsidRDefault="00436D36" w:rsidP="00436D36">
      <w:pPr>
        <w:pStyle w:val="head"/>
        <w:rPr>
          <w:rFonts w:ascii="Arial" w:hAnsi="Arial" w:cs="Arial"/>
          <w:b/>
          <w:bCs/>
          <w:color w:val="000000"/>
          <w:sz w:val="20"/>
          <w:szCs w:val="20"/>
        </w:rPr>
      </w:pPr>
      <w:r>
        <w:rPr>
          <w:rFonts w:ascii="Arial" w:hAnsi="Arial" w:cs="Arial"/>
          <w:b/>
          <w:bCs/>
          <w:color w:val="000000"/>
          <w:sz w:val="20"/>
          <w:szCs w:val="20"/>
        </w:rPr>
        <w:t>EXECUTIVE DIRECTOR</w:t>
      </w:r>
    </w:p>
    <w:p w:rsidR="00436D36" w:rsidRDefault="00436D36" w:rsidP="00436D36">
      <w:pPr>
        <w:pStyle w:val="head"/>
        <w:rPr>
          <w:rFonts w:ascii="Arial" w:hAnsi="Arial" w:cs="Arial"/>
          <w:b/>
          <w:bCs/>
          <w:color w:val="000000"/>
          <w:sz w:val="20"/>
          <w:szCs w:val="20"/>
        </w:rPr>
      </w:pPr>
      <w:r>
        <w:rPr>
          <w:rFonts w:ascii="Arial" w:hAnsi="Arial" w:cs="Arial"/>
          <w:b/>
          <w:bCs/>
          <w:color w:val="000000"/>
          <w:sz w:val="20"/>
          <w:szCs w:val="20"/>
        </w:rPr>
        <w:t>Reserve Bank of India</w:t>
      </w:r>
      <w:r>
        <w:rPr>
          <w:rFonts w:ascii="Arial" w:hAnsi="Arial" w:cs="Arial"/>
          <w:b/>
          <w:bCs/>
          <w:color w:val="000000"/>
          <w:sz w:val="20"/>
          <w:szCs w:val="20"/>
        </w:rPr>
        <w:br/>
        <w:t>Mumbai</w:t>
      </w:r>
    </w:p>
    <w:p w:rsidR="00436D36" w:rsidRDefault="00436D36" w:rsidP="00DE6119">
      <w:pPr>
        <w:pStyle w:val="head"/>
        <w:jc w:val="center"/>
        <w:rPr>
          <w:rFonts w:ascii="Arial" w:hAnsi="Arial" w:cs="Arial"/>
          <w:b/>
          <w:bCs/>
          <w:color w:val="000000"/>
          <w:sz w:val="20"/>
          <w:szCs w:val="20"/>
        </w:rPr>
      </w:pPr>
      <w:r>
        <w:rPr>
          <w:rFonts w:ascii="Arial" w:hAnsi="Arial" w:cs="Arial"/>
          <w:b/>
          <w:bCs/>
          <w:color w:val="000000"/>
          <w:sz w:val="20"/>
          <w:szCs w:val="20"/>
        </w:rPr>
        <w:t>Reserve Bank - Integrated Ombudsman Scheme, 2021 (RBIOS, 2021)</w:t>
      </w:r>
    </w:p>
    <w:p w:rsidR="00436D36" w:rsidRDefault="00436D36" w:rsidP="00DE6119">
      <w:pPr>
        <w:pStyle w:val="head"/>
        <w:jc w:val="center"/>
        <w:rPr>
          <w:rFonts w:ascii="Arial" w:hAnsi="Arial" w:cs="Arial"/>
          <w:b/>
          <w:bCs/>
          <w:color w:val="000000"/>
          <w:sz w:val="20"/>
          <w:szCs w:val="20"/>
        </w:rPr>
      </w:pPr>
      <w:r>
        <w:rPr>
          <w:rFonts w:ascii="Arial" w:hAnsi="Arial" w:cs="Arial"/>
          <w:b/>
          <w:bCs/>
          <w:color w:val="000000"/>
          <w:sz w:val="20"/>
          <w:szCs w:val="20"/>
          <w:u w:val="single"/>
        </w:rPr>
        <w:t>NOTIFICATION</w:t>
      </w:r>
    </w:p>
    <w:p w:rsidR="00436D36" w:rsidRDefault="00436D36" w:rsidP="00436D36">
      <w:pPr>
        <w:pStyle w:val="NormalWeb"/>
        <w:rPr>
          <w:rFonts w:ascii="Arial" w:hAnsi="Arial" w:cs="Arial"/>
          <w:color w:val="000000"/>
          <w:sz w:val="20"/>
          <w:szCs w:val="20"/>
        </w:rPr>
      </w:pPr>
      <w:proofErr w:type="gramStart"/>
      <w:r>
        <w:rPr>
          <w:rFonts w:ascii="Arial" w:hAnsi="Arial" w:cs="Arial"/>
          <w:color w:val="000000"/>
          <w:sz w:val="20"/>
          <w:szCs w:val="20"/>
        </w:rPr>
        <w:t>Ref.CEPD.PRD.No.S</w:t>
      </w:r>
      <w:proofErr w:type="gramEnd"/>
      <w:r>
        <w:rPr>
          <w:rFonts w:ascii="Arial" w:hAnsi="Arial" w:cs="Arial"/>
          <w:color w:val="000000"/>
          <w:sz w:val="20"/>
          <w:szCs w:val="20"/>
        </w:rPr>
        <w:t>544/13.01.001/2022-23</w:t>
      </w:r>
    </w:p>
    <w:p w:rsidR="00436D36" w:rsidRDefault="00436D36" w:rsidP="00DE6119">
      <w:pPr>
        <w:pStyle w:val="NormalWeb"/>
        <w:jc w:val="right"/>
        <w:rPr>
          <w:rFonts w:ascii="Arial" w:hAnsi="Arial" w:cs="Arial"/>
          <w:color w:val="000000"/>
          <w:sz w:val="20"/>
          <w:szCs w:val="20"/>
        </w:rPr>
      </w:pPr>
      <w:r>
        <w:rPr>
          <w:rFonts w:ascii="Arial" w:hAnsi="Arial" w:cs="Arial"/>
          <w:color w:val="000000"/>
          <w:sz w:val="20"/>
          <w:szCs w:val="20"/>
        </w:rPr>
        <w:t>August 5, 2022</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In exercise of the powers conferred by sub section (1) of Section 11 of the Credit Information Companies (Regulation) Act, 2005, and in partial modification of its </w:t>
      </w:r>
      <w:hyperlink r:id="rId6" w:tgtFrame="_blank" w:history="1">
        <w:r>
          <w:rPr>
            <w:rStyle w:val="Hyperlink"/>
            <w:rFonts w:ascii="Arial" w:hAnsi="Arial" w:cs="Arial"/>
            <w:sz w:val="20"/>
            <w:szCs w:val="20"/>
          </w:rPr>
          <w:t>notification CEPD. PRD. No. S873/13.01.001/2021-22 dated November 12, 2021</w:t>
        </w:r>
      </w:hyperlink>
      <w:r>
        <w:rPr>
          <w:rFonts w:ascii="Arial" w:hAnsi="Arial" w:cs="Arial"/>
          <w:color w:val="000000"/>
          <w:sz w:val="20"/>
          <w:szCs w:val="20"/>
        </w:rPr>
        <w:t>, the Reserve Bank of India, being satisfied that it is in public interest to do so, and to provide an avenue for cost free alternate grievance redress to customers of regulated entities covered under the RBIOS 2021 (the Scheme) for grievances against Credit Information Companies, hereby directs that the ‘Credit Information Company’ as defined in the Credit Information Companies (Regulation) Act, 2005, shall also be treated as a ‘Regulated Entity’ for the purpose of the Scheme.</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2. As a result, the Scheme shall also be applicable to Credit Information Companies to the extent not specifically excluded under the Scheme.</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 xml:space="preserve">3. The amendment in the Scheme shall come into force </w:t>
      </w:r>
      <w:proofErr w:type="spellStart"/>
      <w:r>
        <w:rPr>
          <w:rFonts w:ascii="Arial" w:hAnsi="Arial" w:cs="Arial"/>
          <w:color w:val="000000"/>
          <w:sz w:val="20"/>
          <w:szCs w:val="20"/>
        </w:rPr>
        <w:t>w.e.f</w:t>
      </w:r>
      <w:proofErr w:type="spellEnd"/>
      <w:r>
        <w:rPr>
          <w:rFonts w:ascii="Arial" w:hAnsi="Arial" w:cs="Arial"/>
          <w:color w:val="000000"/>
          <w:sz w:val="20"/>
          <w:szCs w:val="20"/>
        </w:rPr>
        <w:t>. September 1, 2022.</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4. An updated version of the Scheme is </w:t>
      </w:r>
      <w:hyperlink r:id="rId7" w:tgtFrame="_blank" w:history="1">
        <w:r>
          <w:rPr>
            <w:rStyle w:val="Hyperlink"/>
            <w:rFonts w:ascii="Arial" w:hAnsi="Arial" w:cs="Arial"/>
            <w:sz w:val="20"/>
            <w:szCs w:val="20"/>
          </w:rPr>
          <w:t>annexed</w:t>
        </w:r>
      </w:hyperlink>
      <w:r>
        <w:rPr>
          <w:rFonts w:ascii="Arial" w:hAnsi="Arial" w:cs="Arial"/>
          <w:color w:val="000000"/>
          <w:sz w:val="20"/>
          <w:szCs w:val="20"/>
        </w:rPr>
        <w:t>.</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(Anil Kumar Sharma)</w:t>
      </w:r>
    </w:p>
    <w:p w:rsidR="00436D36" w:rsidRDefault="00436D36" w:rsidP="00436D36">
      <w:pPr>
        <w:pStyle w:val="NormalWeb"/>
        <w:rPr>
          <w:rFonts w:ascii="Arial" w:hAnsi="Arial" w:cs="Arial"/>
          <w:color w:val="000000"/>
          <w:sz w:val="20"/>
          <w:szCs w:val="20"/>
        </w:rPr>
      </w:pPr>
    </w:p>
    <w:p w:rsidR="00436D36" w:rsidRDefault="00436D36" w:rsidP="00A410BB">
      <w:pPr>
        <w:pStyle w:val="NormalWeb"/>
        <w:rPr>
          <w:rFonts w:ascii="Arial" w:hAnsi="Arial" w:cs="Arial"/>
          <w:color w:val="000000"/>
          <w:sz w:val="20"/>
          <w:szCs w:val="20"/>
        </w:rPr>
      </w:pPr>
    </w:p>
    <w:p w:rsidR="00436D36" w:rsidRDefault="00436D36" w:rsidP="00A410BB">
      <w:pPr>
        <w:pStyle w:val="NormalWeb"/>
        <w:rPr>
          <w:rFonts w:ascii="Arial" w:hAnsi="Arial" w:cs="Arial"/>
          <w:color w:val="000000"/>
          <w:sz w:val="20"/>
          <w:szCs w:val="20"/>
        </w:rPr>
      </w:pPr>
    </w:p>
    <w:p w:rsidR="00DE6119" w:rsidRDefault="00DE6119" w:rsidP="00DE6119">
      <w:r>
        <w:t>More details can be referred to in the below link.</w:t>
      </w:r>
    </w:p>
    <w:p w:rsidR="00A410BB" w:rsidRDefault="00DE6119" w:rsidP="00DE6119">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8" w:history="1">
        <w:r w:rsidRPr="006865D6">
          <w:rPr>
            <w:rStyle w:val="Hyperlink"/>
            <w:rFonts w:ascii="Arial" w:hAnsi="Arial" w:cs="Arial"/>
            <w:bCs/>
            <w:sz w:val="20"/>
            <w:szCs w:val="20"/>
          </w:rPr>
          <w:t>https://www.rbi.org.in/Scripts/NotificationUser.aspx?Id=12371&amp;Mode=0</w:t>
        </w:r>
      </w:hyperlink>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1747A0" w:rsidRDefault="001747A0" w:rsidP="001747A0">
      <w:pPr>
        <w:pStyle w:val="NormalWeb"/>
        <w:rPr>
          <w:rFonts w:ascii="Arial" w:hAnsi="Arial" w:cs="Arial"/>
          <w:b/>
          <w:bCs/>
          <w:color w:val="000000"/>
          <w:sz w:val="20"/>
          <w:szCs w:val="20"/>
        </w:rPr>
      </w:pPr>
      <w:r>
        <w:rPr>
          <w:rFonts w:ascii="Arial" w:hAnsi="Arial" w:cs="Arial"/>
          <w:b/>
          <w:bCs/>
          <w:color w:val="000000"/>
          <w:sz w:val="20"/>
          <w:szCs w:val="20"/>
        </w:rPr>
        <w:lastRenderedPageBreak/>
        <w:t>Guidelines on Digital Lending</w:t>
      </w:r>
    </w:p>
    <w:p w:rsidR="001747A0" w:rsidRDefault="001747A0" w:rsidP="001747A0">
      <w:pPr>
        <w:pStyle w:val="NormalWeb"/>
        <w:jc w:val="both"/>
        <w:rPr>
          <w:rFonts w:ascii="Arial" w:hAnsi="Arial" w:cs="Arial"/>
          <w:color w:val="000000"/>
          <w:sz w:val="20"/>
          <w:szCs w:val="20"/>
        </w:rPr>
      </w:pPr>
      <w:r>
        <w:rPr>
          <w:rFonts w:ascii="Arial" w:hAnsi="Arial" w:cs="Arial"/>
          <w:color w:val="000000"/>
          <w:sz w:val="20"/>
          <w:szCs w:val="20"/>
        </w:rPr>
        <w:t>RBI/2022-23/111</w:t>
      </w:r>
      <w:r>
        <w:rPr>
          <w:rFonts w:ascii="Arial" w:hAnsi="Arial" w:cs="Arial"/>
          <w:color w:val="000000"/>
          <w:sz w:val="20"/>
          <w:szCs w:val="20"/>
        </w:rPr>
        <w:br/>
        <w:t>DOR.CRE.REC.66/21.07.001/2022-23</w:t>
      </w:r>
    </w:p>
    <w:p w:rsidR="001747A0" w:rsidRDefault="001747A0" w:rsidP="001747A0">
      <w:pPr>
        <w:pStyle w:val="NormalWeb"/>
        <w:jc w:val="right"/>
        <w:rPr>
          <w:rFonts w:ascii="Arial" w:hAnsi="Arial" w:cs="Arial"/>
          <w:color w:val="000000"/>
          <w:sz w:val="20"/>
          <w:szCs w:val="20"/>
        </w:rPr>
      </w:pPr>
      <w:r>
        <w:rPr>
          <w:rFonts w:ascii="Arial" w:hAnsi="Arial" w:cs="Arial"/>
          <w:color w:val="000000"/>
          <w:sz w:val="20"/>
          <w:szCs w:val="20"/>
        </w:rPr>
        <w:t>September 02, 2022</w:t>
      </w:r>
    </w:p>
    <w:p w:rsidR="001747A0" w:rsidRDefault="001747A0" w:rsidP="001747A0">
      <w:pPr>
        <w:pStyle w:val="NormalWeb"/>
        <w:rPr>
          <w:rFonts w:ascii="Arial" w:hAnsi="Arial" w:cs="Arial"/>
          <w:color w:val="000000"/>
          <w:sz w:val="20"/>
          <w:szCs w:val="20"/>
        </w:rPr>
      </w:pPr>
      <w:r>
        <w:rPr>
          <w:rFonts w:ascii="Arial" w:hAnsi="Arial" w:cs="Arial"/>
          <w:color w:val="000000"/>
          <w:sz w:val="20"/>
          <w:szCs w:val="20"/>
        </w:rPr>
        <w:t>All Commercial Banks,</w:t>
      </w:r>
      <w:r>
        <w:rPr>
          <w:rFonts w:ascii="Arial" w:hAnsi="Arial" w:cs="Arial"/>
          <w:color w:val="000000"/>
          <w:sz w:val="20"/>
          <w:szCs w:val="20"/>
        </w:rPr>
        <w:br/>
        <w:t>Primary (Urban) Co-operative Banks, State Co-operative Banks,</w:t>
      </w:r>
      <w:r>
        <w:rPr>
          <w:rFonts w:ascii="Arial" w:hAnsi="Arial" w:cs="Arial"/>
          <w:color w:val="000000"/>
          <w:sz w:val="20"/>
          <w:szCs w:val="20"/>
        </w:rPr>
        <w:br/>
        <w:t>District Central Co-operative Banks; and</w:t>
      </w:r>
      <w:r>
        <w:rPr>
          <w:rFonts w:ascii="Arial" w:hAnsi="Arial" w:cs="Arial"/>
          <w:color w:val="000000"/>
          <w:sz w:val="20"/>
          <w:szCs w:val="20"/>
        </w:rPr>
        <w:br/>
        <w:t>Non-Banking Financial Companies (including Housing Finance Companies)</w:t>
      </w:r>
    </w:p>
    <w:p w:rsidR="001747A0" w:rsidRDefault="001747A0" w:rsidP="001747A0">
      <w:pPr>
        <w:pStyle w:val="NormalWeb"/>
        <w:rPr>
          <w:rFonts w:ascii="Arial" w:hAnsi="Arial" w:cs="Arial"/>
          <w:color w:val="000000"/>
          <w:sz w:val="20"/>
          <w:szCs w:val="20"/>
        </w:rPr>
      </w:pPr>
      <w:r>
        <w:rPr>
          <w:rFonts w:ascii="Arial" w:hAnsi="Arial" w:cs="Arial"/>
          <w:color w:val="000000"/>
          <w:sz w:val="20"/>
          <w:szCs w:val="20"/>
        </w:rPr>
        <w:t>Madam/ Sir,</w:t>
      </w:r>
    </w:p>
    <w:p w:rsidR="001747A0" w:rsidRDefault="001747A0" w:rsidP="001747A0">
      <w:pPr>
        <w:pStyle w:val="head"/>
        <w:jc w:val="center"/>
        <w:rPr>
          <w:rFonts w:ascii="Arial" w:hAnsi="Arial" w:cs="Arial"/>
          <w:b/>
          <w:bCs/>
          <w:color w:val="000000"/>
          <w:sz w:val="20"/>
          <w:szCs w:val="20"/>
        </w:rPr>
      </w:pPr>
      <w:r>
        <w:rPr>
          <w:rFonts w:ascii="Arial" w:hAnsi="Arial" w:cs="Arial"/>
          <w:b/>
          <w:bCs/>
          <w:color w:val="000000"/>
          <w:sz w:val="20"/>
          <w:szCs w:val="20"/>
        </w:rPr>
        <w:t>Guidelines on Digital Lending</w:t>
      </w:r>
    </w:p>
    <w:p w:rsidR="001747A0" w:rsidRDefault="001747A0" w:rsidP="001747A0">
      <w:pPr>
        <w:pStyle w:val="NormalWeb"/>
        <w:jc w:val="both"/>
        <w:rPr>
          <w:rFonts w:ascii="Arial" w:hAnsi="Arial" w:cs="Arial"/>
          <w:color w:val="000000"/>
          <w:sz w:val="20"/>
          <w:szCs w:val="20"/>
        </w:rPr>
      </w:pPr>
      <w:r>
        <w:rPr>
          <w:rFonts w:ascii="Arial" w:hAnsi="Arial" w:cs="Arial"/>
          <w:color w:val="000000"/>
          <w:sz w:val="20"/>
          <w:szCs w:val="20"/>
        </w:rPr>
        <w:t>A reference is invited to para 7 of the </w:t>
      </w:r>
      <w:hyperlink r:id="rId9" w:tgtFrame="_blank" w:history="1">
        <w:r>
          <w:rPr>
            <w:rStyle w:val="Hyperlink"/>
            <w:rFonts w:ascii="Arial" w:hAnsi="Arial" w:cs="Arial"/>
            <w:sz w:val="20"/>
            <w:szCs w:val="20"/>
          </w:rPr>
          <w:t>RBI Press Release “Recommendations of the Working Group on Digital Lending – Implementation” dated August 10, 2022</w:t>
        </w:r>
      </w:hyperlink>
      <w:r>
        <w:rPr>
          <w:rFonts w:ascii="Arial" w:hAnsi="Arial" w:cs="Arial"/>
          <w:color w:val="000000"/>
          <w:sz w:val="20"/>
          <w:szCs w:val="20"/>
        </w:rPr>
        <w:t>. Detailed guidelines on recommendations of the Working Group accepted for immediate implementation are attached as </w:t>
      </w:r>
      <w:hyperlink r:id="rId10" w:anchor="AN1" w:history="1">
        <w:r>
          <w:rPr>
            <w:rStyle w:val="Hyperlink"/>
            <w:rFonts w:ascii="Arial" w:hAnsi="Arial" w:cs="Arial"/>
            <w:sz w:val="20"/>
            <w:szCs w:val="20"/>
          </w:rPr>
          <w:t>Annex I</w:t>
        </w:r>
      </w:hyperlink>
      <w:r>
        <w:rPr>
          <w:rFonts w:ascii="Arial" w:hAnsi="Arial" w:cs="Arial"/>
          <w:color w:val="000000"/>
          <w:sz w:val="20"/>
          <w:szCs w:val="20"/>
        </w:rPr>
        <w:t> to this circular.</w:t>
      </w:r>
    </w:p>
    <w:p w:rsidR="001747A0" w:rsidRDefault="001747A0" w:rsidP="001747A0">
      <w:pPr>
        <w:pStyle w:val="NormalWeb"/>
        <w:jc w:val="both"/>
        <w:rPr>
          <w:rFonts w:ascii="Arial" w:hAnsi="Arial" w:cs="Arial"/>
          <w:color w:val="000000"/>
          <w:sz w:val="20"/>
          <w:szCs w:val="20"/>
        </w:rPr>
      </w:pPr>
      <w:r>
        <w:rPr>
          <w:rFonts w:ascii="Arial" w:hAnsi="Arial" w:cs="Arial"/>
          <w:color w:val="000000"/>
          <w:sz w:val="20"/>
          <w:szCs w:val="20"/>
        </w:rPr>
        <w:t>2. It is reiterated that outsourcing arrangements entered by Regulated Entities (REs) with a Lending Service Provider (LSP)/ Digital Lending App (DLA) does not diminish the REs’ obligations and they shall continue to conform to the extant guidelines on outsourcing</w:t>
      </w:r>
      <w:hyperlink r:id="rId11" w:anchor="F1" w:history="1">
        <w:r>
          <w:rPr>
            <w:rStyle w:val="Hyperlink"/>
            <w:rFonts w:ascii="Arial" w:hAnsi="Arial" w:cs="Arial"/>
            <w:sz w:val="15"/>
            <w:szCs w:val="15"/>
            <w:vertAlign w:val="superscript"/>
          </w:rPr>
          <w:t>1</w:t>
        </w:r>
      </w:hyperlink>
      <w:r>
        <w:rPr>
          <w:rFonts w:ascii="Arial" w:hAnsi="Arial" w:cs="Arial"/>
          <w:color w:val="000000"/>
          <w:sz w:val="20"/>
          <w:szCs w:val="20"/>
        </w:rPr>
        <w:t>. The REs are advised to ensure that the LSPs engaged by them and the DLAs (either of the RE or of the LSP engaged by the RE) comply with the guidelines contained in this circular.</w:t>
      </w:r>
    </w:p>
    <w:p w:rsidR="001747A0" w:rsidRDefault="001747A0" w:rsidP="001747A0">
      <w:pPr>
        <w:pStyle w:val="NormalWeb"/>
        <w:jc w:val="both"/>
        <w:rPr>
          <w:rFonts w:ascii="Arial" w:hAnsi="Arial" w:cs="Arial"/>
          <w:color w:val="000000"/>
          <w:sz w:val="20"/>
          <w:szCs w:val="20"/>
        </w:rPr>
      </w:pPr>
      <w:r>
        <w:rPr>
          <w:rFonts w:ascii="Arial" w:hAnsi="Arial" w:cs="Arial"/>
          <w:color w:val="000000"/>
          <w:sz w:val="20"/>
          <w:szCs w:val="20"/>
        </w:rPr>
        <w:t xml:space="preserve">3. It is further advised that the instructions contained in this circular shall be applicable to the ‘existing customers availing fresh loans’ and to ‘new customers getting </w:t>
      </w:r>
      <w:proofErr w:type="spellStart"/>
      <w:r>
        <w:rPr>
          <w:rFonts w:ascii="Arial" w:hAnsi="Arial" w:cs="Arial"/>
          <w:color w:val="000000"/>
          <w:sz w:val="20"/>
          <w:szCs w:val="20"/>
        </w:rPr>
        <w:t>onboarded</w:t>
      </w:r>
      <w:proofErr w:type="spellEnd"/>
      <w:r>
        <w:rPr>
          <w:rFonts w:ascii="Arial" w:hAnsi="Arial" w:cs="Arial"/>
          <w:color w:val="000000"/>
          <w:sz w:val="20"/>
          <w:szCs w:val="20"/>
        </w:rPr>
        <w:t>’, from the date of this circular. However, in order to ensure a smooth transition, REs shall be given time till November 30, 2022, to put in place adequate systems and processes to ensure that ‘existing digital loans’ (sanctioned as on the date of the circular) are also in compliance with these guidelines in both letter and spirit.</w:t>
      </w:r>
    </w:p>
    <w:p w:rsidR="001747A0" w:rsidRDefault="001747A0" w:rsidP="001747A0">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sections 30A and 32 of the National Housing Bank Act, 1987, section 6 of the Factoring Regulation Act, 2011 and section 11 of the Credit Information Companies (Regulation) Act, 2005.</w:t>
      </w:r>
    </w:p>
    <w:p w:rsidR="001747A0" w:rsidRDefault="001747A0" w:rsidP="001747A0">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1747A0" w:rsidRDefault="001747A0" w:rsidP="001747A0">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1747A0" w:rsidRDefault="001747A0" w:rsidP="001747A0">
      <w:pPr>
        <w:spacing w:before="240" w:after="240"/>
        <w:rPr>
          <w:rFonts w:ascii="Times New Roman" w:hAnsi="Times New Roman" w:cs="Times New Roman"/>
          <w:sz w:val="24"/>
          <w:szCs w:val="24"/>
        </w:rPr>
      </w:pPr>
    </w:p>
    <w:p w:rsidR="001747A0" w:rsidRDefault="001747A0" w:rsidP="001747A0">
      <w:pPr>
        <w:spacing w:before="240" w:after="240"/>
        <w:rPr>
          <w:rFonts w:ascii="Times New Roman" w:hAnsi="Times New Roman" w:cs="Times New Roman"/>
          <w:sz w:val="24"/>
          <w:szCs w:val="24"/>
        </w:rPr>
      </w:pPr>
    </w:p>
    <w:p w:rsidR="001747A0" w:rsidRDefault="001747A0" w:rsidP="001747A0">
      <w:r>
        <w:t>More details can be referred to in the below link.</w:t>
      </w:r>
    </w:p>
    <w:p w:rsidR="001747A0" w:rsidRDefault="001747A0" w:rsidP="001747A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2" w:history="1">
        <w:r w:rsidRPr="006865D6">
          <w:rPr>
            <w:rStyle w:val="Hyperlink"/>
            <w:rFonts w:ascii="Arial" w:hAnsi="Arial" w:cs="Arial"/>
            <w:bCs/>
            <w:sz w:val="20"/>
            <w:szCs w:val="20"/>
          </w:rPr>
          <w:t>https://rbi.org.in/Scripts/BS_CircularIndexDisplay.aspx?Id=12382</w:t>
        </w:r>
      </w:hyperlink>
    </w:p>
    <w:p w:rsidR="001747A0" w:rsidRDefault="001747A0" w:rsidP="001747A0">
      <w:pPr>
        <w:pStyle w:val="NormalWeb"/>
        <w:rPr>
          <w:rFonts w:ascii="Arial" w:hAnsi="Arial" w:cs="Arial"/>
          <w:bCs/>
          <w:color w:val="000000"/>
          <w:sz w:val="20"/>
          <w:szCs w:val="20"/>
        </w:rPr>
      </w:pPr>
    </w:p>
    <w:p w:rsidR="001747A0" w:rsidRDefault="001747A0" w:rsidP="001747A0">
      <w:pPr>
        <w:pStyle w:val="NormalWeb"/>
        <w:rPr>
          <w:rFonts w:ascii="Arial" w:hAnsi="Arial" w:cs="Arial"/>
          <w:color w:val="000000"/>
          <w:sz w:val="20"/>
          <w:szCs w:val="20"/>
        </w:rPr>
      </w:pPr>
    </w:p>
    <w:p w:rsidR="002313C4" w:rsidRDefault="002313C4" w:rsidP="00DB76CD">
      <w:pPr>
        <w:rPr>
          <w:rFonts w:ascii="Arial" w:hAnsi="Arial" w:cs="Arial"/>
          <w:b/>
          <w:bCs/>
          <w:color w:val="000000"/>
          <w:sz w:val="20"/>
          <w:szCs w:val="20"/>
        </w:rPr>
      </w:pPr>
    </w:p>
    <w:p w:rsidR="00DB76CD" w:rsidRPr="00147837" w:rsidRDefault="00DB76CD" w:rsidP="00DB76CD">
      <w:pPr>
        <w:rPr>
          <w:rFonts w:ascii="Arial" w:hAnsi="Arial" w:cs="Arial"/>
          <w:b/>
          <w:bCs/>
          <w:color w:val="000000"/>
          <w:sz w:val="20"/>
          <w:szCs w:val="20"/>
        </w:rPr>
      </w:pPr>
      <w:r w:rsidRPr="00147837">
        <w:rPr>
          <w:rFonts w:ascii="Arial" w:hAnsi="Arial" w:cs="Arial"/>
          <w:b/>
          <w:bCs/>
          <w:color w:val="000000"/>
          <w:sz w:val="20"/>
          <w:szCs w:val="20"/>
        </w:rPr>
        <w:lastRenderedPageBreak/>
        <w:t>Rupee Drawing Arrangement - Enabling Bharat Bill Payment System (BBPS) to process cross-border inbound Bill Payments</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RBI/2022-23/115</w:t>
      </w:r>
      <w:r w:rsidRPr="00147837">
        <w:rPr>
          <w:rFonts w:ascii="Arial" w:hAnsi="Arial" w:cs="Arial"/>
          <w:sz w:val="20"/>
          <w:szCs w:val="20"/>
        </w:rPr>
        <w:br/>
        <w:t>A.P. (DIR Series) Circular No. 14</w:t>
      </w:r>
    </w:p>
    <w:p w:rsidR="00DB76CD" w:rsidRPr="00147837" w:rsidRDefault="00DB76CD" w:rsidP="00DB76CD">
      <w:pPr>
        <w:pStyle w:val="NormalWeb"/>
        <w:jc w:val="right"/>
        <w:rPr>
          <w:rFonts w:ascii="Arial" w:hAnsi="Arial" w:cs="Arial"/>
          <w:sz w:val="20"/>
          <w:szCs w:val="20"/>
        </w:rPr>
      </w:pPr>
      <w:r w:rsidRPr="00147837">
        <w:rPr>
          <w:rFonts w:ascii="Arial" w:hAnsi="Arial" w:cs="Arial"/>
          <w:sz w:val="20"/>
          <w:szCs w:val="20"/>
        </w:rPr>
        <w:t>September 15, 2022</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To</w:t>
      </w:r>
      <w:r w:rsidRPr="00147837">
        <w:rPr>
          <w:rFonts w:ascii="Arial" w:hAnsi="Arial" w:cs="Arial"/>
          <w:sz w:val="20"/>
          <w:szCs w:val="20"/>
        </w:rPr>
        <w:br/>
        <w:t>All Category-I Authorised Dealer Banks</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Madam/Sir,</w:t>
      </w:r>
    </w:p>
    <w:p w:rsidR="00DB76CD" w:rsidRPr="00147837" w:rsidRDefault="00DB76CD" w:rsidP="00DB76CD">
      <w:pPr>
        <w:pStyle w:val="head"/>
        <w:jc w:val="center"/>
        <w:rPr>
          <w:rFonts w:ascii="Arial" w:hAnsi="Arial" w:cs="Arial"/>
          <w:b/>
          <w:bCs/>
          <w:sz w:val="20"/>
          <w:szCs w:val="20"/>
        </w:rPr>
      </w:pPr>
      <w:r w:rsidRPr="00147837">
        <w:rPr>
          <w:rFonts w:ascii="Arial" w:hAnsi="Arial" w:cs="Arial"/>
          <w:b/>
          <w:bCs/>
          <w:sz w:val="20"/>
          <w:szCs w:val="20"/>
        </w:rPr>
        <w:t>Rupee Drawing Arrangement - Enabling Bharat Bill Payment System (BBPS) to process</w:t>
      </w:r>
      <w:r w:rsidRPr="00147837">
        <w:rPr>
          <w:rFonts w:ascii="Arial" w:hAnsi="Arial" w:cs="Arial"/>
          <w:b/>
          <w:bCs/>
          <w:sz w:val="20"/>
          <w:szCs w:val="20"/>
        </w:rPr>
        <w:br/>
        <w:t>cross-border inbound Bill Payments</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Please refer to </w:t>
      </w:r>
      <w:hyperlink r:id="rId13" w:tgtFrame="_blank" w:history="1">
        <w:r w:rsidRPr="00147837">
          <w:rPr>
            <w:rStyle w:val="Hyperlink"/>
            <w:rFonts w:ascii="Arial" w:hAnsi="Arial" w:cs="Arial"/>
            <w:sz w:val="20"/>
            <w:szCs w:val="20"/>
          </w:rPr>
          <w:t>A.P. (DIR Series) Circular No. 120 dated April 10, 2014</w:t>
        </w:r>
      </w:hyperlink>
      <w:r w:rsidRPr="00147837">
        <w:rPr>
          <w:rFonts w:ascii="Arial" w:hAnsi="Arial" w:cs="Arial"/>
          <w:sz w:val="20"/>
          <w:szCs w:val="20"/>
        </w:rPr>
        <w:t> on ‘Rupee Drawing Arrangement – Direct to Account Facility’, in terms of which, foreign inward remittances received under Rupee Drawing Arrangement (RDA) can be transferred to the KYC compliant beneficiary bank accounts through electronic mode, such as, NEFT, IMPS, etc. subject to the procedure and conditions mentioned therein.</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2. As announced in Para 6 of the </w:t>
      </w:r>
      <w:hyperlink r:id="rId14" w:tgtFrame="_blank" w:history="1">
        <w:r w:rsidRPr="00147837">
          <w:rPr>
            <w:rStyle w:val="Hyperlink"/>
            <w:rFonts w:ascii="Arial" w:hAnsi="Arial" w:cs="Arial"/>
            <w:sz w:val="20"/>
            <w:szCs w:val="20"/>
          </w:rPr>
          <w:t>Statement on Developmental and Regulatory Policies issued on August 05, 2022</w:t>
        </w:r>
      </w:hyperlink>
      <w:r w:rsidRPr="00147837">
        <w:rPr>
          <w:rFonts w:ascii="Arial" w:hAnsi="Arial" w:cs="Arial"/>
          <w:sz w:val="20"/>
          <w:szCs w:val="20"/>
        </w:rPr>
        <w:t>, it has been decided to allow foreign inward remittances received under the Rupee Drawing Arrangement (RDA), to be transferred to the KYC compliant bank account of the biller (beneficiary) through Bharat Bill Payment System (BBPS), subject to the conditions mentioned in Para 3 of </w:t>
      </w:r>
      <w:hyperlink r:id="rId15" w:tgtFrame="_blank" w:history="1">
        <w:r w:rsidRPr="00147837">
          <w:rPr>
            <w:rStyle w:val="Hyperlink"/>
            <w:rFonts w:ascii="Arial" w:hAnsi="Arial" w:cs="Arial"/>
            <w:sz w:val="20"/>
            <w:szCs w:val="20"/>
          </w:rPr>
          <w:t>A.P. (DIR Series) Circular No.120 dated April 10, 2014</w:t>
        </w:r>
      </w:hyperlink>
      <w:r w:rsidRPr="00147837">
        <w:rPr>
          <w:rFonts w:ascii="Arial" w:hAnsi="Arial" w:cs="Arial"/>
          <w:sz w:val="20"/>
          <w:szCs w:val="20"/>
        </w:rPr>
        <w:t>.</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3. AD Cat-I Banks may bring the contents of this circular to the notice of their constituents concerned.</w:t>
      </w:r>
    </w:p>
    <w:p w:rsidR="00DB76CD" w:rsidRPr="00147837" w:rsidRDefault="00DB76CD" w:rsidP="00DB76CD">
      <w:pPr>
        <w:pStyle w:val="NormalWeb"/>
        <w:rPr>
          <w:rFonts w:ascii="Arial" w:hAnsi="Arial" w:cs="Arial"/>
          <w:sz w:val="20"/>
          <w:szCs w:val="20"/>
        </w:rPr>
      </w:pPr>
      <w:r w:rsidRPr="00147837">
        <w:rPr>
          <w:rFonts w:ascii="Arial" w:hAnsi="Arial" w:cs="Arial"/>
          <w:sz w:val="20"/>
          <w:szCs w:val="20"/>
        </w:rPr>
        <w:t>4. The directions contained in this circular have been issued under Section 10(4) and Section 11(1) of the Foreign Exchange Management Act, 1999 (42 of 1999) and are without prejudice to permissions/approvals, if any, required under any other law.</w:t>
      </w:r>
    </w:p>
    <w:p w:rsidR="00DB76CD" w:rsidRPr="00147837" w:rsidRDefault="00DB76CD" w:rsidP="00DB76CD">
      <w:pPr>
        <w:pStyle w:val="NormalWeb"/>
        <w:spacing w:after="0" w:afterAutospacing="0"/>
        <w:rPr>
          <w:rFonts w:ascii="Arial" w:hAnsi="Arial" w:cs="Arial"/>
          <w:sz w:val="20"/>
          <w:szCs w:val="20"/>
        </w:rPr>
      </w:pPr>
      <w:r w:rsidRPr="00147837">
        <w:rPr>
          <w:rFonts w:ascii="Arial" w:hAnsi="Arial" w:cs="Arial"/>
          <w:sz w:val="20"/>
          <w:szCs w:val="20"/>
        </w:rPr>
        <w:t>Yours faithfully,</w:t>
      </w:r>
    </w:p>
    <w:p w:rsidR="00DB76CD" w:rsidRPr="009F305B" w:rsidRDefault="00DB76CD" w:rsidP="00DB76CD">
      <w:pPr>
        <w:pStyle w:val="NormalWeb"/>
        <w:spacing w:before="0" w:beforeAutospacing="0"/>
        <w:rPr>
          <w:rFonts w:ascii="Arial" w:hAnsi="Arial" w:cs="Arial"/>
          <w:sz w:val="20"/>
          <w:szCs w:val="20"/>
        </w:rPr>
      </w:pPr>
      <w:r w:rsidRPr="00147837">
        <w:rPr>
          <w:rFonts w:ascii="Arial" w:hAnsi="Arial" w:cs="Arial"/>
          <w:sz w:val="20"/>
          <w:szCs w:val="20"/>
        </w:rPr>
        <w:t>(</w:t>
      </w:r>
      <w:proofErr w:type="spellStart"/>
      <w:r w:rsidRPr="00147837">
        <w:rPr>
          <w:rFonts w:ascii="Arial" w:hAnsi="Arial" w:cs="Arial"/>
          <w:sz w:val="20"/>
          <w:szCs w:val="20"/>
        </w:rPr>
        <w:t>Vivek</w:t>
      </w:r>
      <w:proofErr w:type="spellEnd"/>
      <w:r w:rsidRPr="00147837">
        <w:rPr>
          <w:rFonts w:ascii="Arial" w:hAnsi="Arial" w:cs="Arial"/>
          <w:sz w:val="20"/>
          <w:szCs w:val="20"/>
        </w:rPr>
        <w:t xml:space="preserve"> Srivastava)</w:t>
      </w:r>
      <w:r w:rsidRPr="00147837">
        <w:rPr>
          <w:rFonts w:ascii="Arial" w:hAnsi="Arial" w:cs="Arial"/>
          <w:sz w:val="20"/>
          <w:szCs w:val="20"/>
        </w:rPr>
        <w:br/>
        <w:t>Chief General Manager</w:t>
      </w:r>
    </w:p>
    <w:p w:rsidR="00DB76CD" w:rsidRDefault="00DB76CD" w:rsidP="00DB76CD"/>
    <w:p w:rsidR="00DB76CD" w:rsidRDefault="00DB76CD" w:rsidP="00DB76CD"/>
    <w:p w:rsidR="00DB76CD" w:rsidRPr="00435B25" w:rsidRDefault="00DB76CD" w:rsidP="00DB76CD">
      <w:pPr>
        <w:spacing w:after="0"/>
        <w:rPr>
          <w:rFonts w:ascii="Arial" w:hAnsi="Arial" w:cs="Arial"/>
          <w:sz w:val="20"/>
          <w:szCs w:val="20"/>
        </w:rPr>
      </w:pPr>
      <w:r w:rsidRPr="00435B25">
        <w:rPr>
          <w:rFonts w:ascii="Arial" w:hAnsi="Arial" w:cs="Arial"/>
          <w:sz w:val="20"/>
          <w:szCs w:val="20"/>
        </w:rPr>
        <w:t>More details can be referred to in the below link.</w:t>
      </w:r>
    </w:p>
    <w:p w:rsidR="00DB76CD" w:rsidRDefault="00DB76CD" w:rsidP="00DB76CD">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16" w:history="1">
        <w:r w:rsidRPr="00200311">
          <w:rPr>
            <w:rStyle w:val="Hyperlink"/>
            <w:rFonts w:ascii="Arial" w:hAnsi="Arial" w:cs="Arial"/>
            <w:sz w:val="20"/>
            <w:szCs w:val="20"/>
          </w:rPr>
          <w:t>https://www.rbi.org.in/scripts/NotificationUser.aspx?Id=12386&amp;Mode=0</w:t>
        </w:r>
      </w:hyperlink>
    </w:p>
    <w:p w:rsidR="00DB76CD" w:rsidRDefault="00DB76CD" w:rsidP="00DE6119">
      <w:pPr>
        <w:pStyle w:val="NormalWeb"/>
        <w:rPr>
          <w:rFonts w:ascii="Arial" w:hAnsi="Arial" w:cs="Arial"/>
          <w:b/>
          <w:bCs/>
          <w:color w:val="000000"/>
          <w:sz w:val="20"/>
          <w:szCs w:val="20"/>
        </w:rPr>
      </w:pPr>
    </w:p>
    <w:p w:rsidR="00DB76CD" w:rsidRDefault="00DB76CD" w:rsidP="00DE6119">
      <w:pPr>
        <w:pStyle w:val="NormalWeb"/>
        <w:rPr>
          <w:rFonts w:ascii="Arial" w:hAnsi="Arial" w:cs="Arial"/>
          <w:b/>
          <w:bCs/>
          <w:color w:val="000000"/>
          <w:sz w:val="20"/>
          <w:szCs w:val="20"/>
        </w:rPr>
      </w:pPr>
    </w:p>
    <w:p w:rsidR="00DB76CD" w:rsidRDefault="00DB76CD" w:rsidP="00DE6119">
      <w:pPr>
        <w:pStyle w:val="NormalWeb"/>
        <w:rPr>
          <w:rFonts w:ascii="Arial" w:hAnsi="Arial" w:cs="Arial"/>
          <w:b/>
          <w:bCs/>
          <w:color w:val="000000"/>
          <w:sz w:val="20"/>
          <w:szCs w:val="20"/>
        </w:rPr>
      </w:pPr>
    </w:p>
    <w:p w:rsidR="00DB76CD" w:rsidRDefault="00DB76CD" w:rsidP="00DE6119">
      <w:pPr>
        <w:pStyle w:val="NormalWeb"/>
        <w:rPr>
          <w:rFonts w:ascii="Arial" w:hAnsi="Arial" w:cs="Arial"/>
          <w:b/>
          <w:bCs/>
          <w:color w:val="000000"/>
          <w:sz w:val="20"/>
          <w:szCs w:val="20"/>
        </w:rPr>
      </w:pPr>
    </w:p>
    <w:p w:rsidR="00DB76CD" w:rsidRDefault="00DB76CD" w:rsidP="00DE6119">
      <w:pPr>
        <w:pStyle w:val="NormalWeb"/>
        <w:rPr>
          <w:rFonts w:ascii="Arial" w:hAnsi="Arial" w:cs="Arial"/>
          <w:b/>
          <w:bCs/>
          <w:color w:val="000000"/>
          <w:sz w:val="20"/>
          <w:szCs w:val="20"/>
        </w:rPr>
      </w:pPr>
    </w:p>
    <w:p w:rsidR="0036265F" w:rsidRDefault="0036265F" w:rsidP="00DE6119">
      <w:pPr>
        <w:pStyle w:val="NormalWeb"/>
        <w:rPr>
          <w:rFonts w:ascii="Arial" w:hAnsi="Arial" w:cs="Arial"/>
          <w:b/>
          <w:bCs/>
          <w:color w:val="000000"/>
          <w:sz w:val="20"/>
          <w:szCs w:val="20"/>
        </w:rPr>
      </w:pPr>
    </w:p>
    <w:p w:rsidR="0036265F" w:rsidRDefault="0036265F" w:rsidP="0036265F">
      <w:pPr>
        <w:spacing w:line="259" w:lineRule="auto"/>
        <w:rPr>
          <w:rFonts w:ascii="Arial" w:hAnsi="Arial" w:cs="Arial"/>
          <w:b/>
          <w:bCs/>
          <w:color w:val="000000"/>
          <w:sz w:val="20"/>
          <w:szCs w:val="20"/>
        </w:rPr>
      </w:pPr>
      <w:r>
        <w:rPr>
          <w:rFonts w:ascii="Arial" w:hAnsi="Arial" w:cs="Arial"/>
          <w:b/>
          <w:bCs/>
          <w:color w:val="000000"/>
          <w:sz w:val="20"/>
          <w:szCs w:val="20"/>
        </w:rPr>
        <w:lastRenderedPageBreak/>
        <w:t>Central Payments Fraud Information Registry – Migration of Reporting to DAKSH</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RBI/2022-23/158</w:t>
      </w:r>
      <w:r>
        <w:rPr>
          <w:rFonts w:ascii="Arial" w:hAnsi="Arial" w:cs="Arial"/>
          <w:color w:val="000000"/>
          <w:sz w:val="20"/>
          <w:szCs w:val="20"/>
        </w:rPr>
        <w:br/>
        <w:t>CO.DPSS.OVRST.No.S1619/06-08-005/2022-2023</w:t>
      </w:r>
    </w:p>
    <w:p w:rsidR="0036265F" w:rsidRDefault="0036265F" w:rsidP="0036265F">
      <w:pPr>
        <w:pStyle w:val="NormalWeb"/>
        <w:jc w:val="right"/>
        <w:rPr>
          <w:rFonts w:ascii="Arial" w:hAnsi="Arial" w:cs="Arial"/>
          <w:color w:val="000000"/>
          <w:sz w:val="20"/>
          <w:szCs w:val="20"/>
        </w:rPr>
      </w:pPr>
      <w:r>
        <w:rPr>
          <w:rFonts w:ascii="Arial" w:hAnsi="Arial" w:cs="Arial"/>
          <w:color w:val="000000"/>
          <w:sz w:val="20"/>
          <w:szCs w:val="20"/>
        </w:rPr>
        <w:t>December 26, 2022</w:t>
      </w:r>
    </w:p>
    <w:p w:rsidR="0036265F" w:rsidRDefault="0036265F" w:rsidP="0036265F">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Banks, Non-bank Payment System Operators (PSOs) and</w:t>
      </w:r>
      <w:r>
        <w:rPr>
          <w:rFonts w:ascii="Arial" w:hAnsi="Arial" w:cs="Arial"/>
          <w:color w:val="000000"/>
          <w:sz w:val="20"/>
          <w:szCs w:val="20"/>
        </w:rPr>
        <w:br/>
        <w:t>Credit Card issuing Non-Banking Financial Companies (NBFCs)</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Madam / Dear Sir,</w:t>
      </w:r>
    </w:p>
    <w:p w:rsidR="0036265F" w:rsidRDefault="0036265F" w:rsidP="0036265F">
      <w:pPr>
        <w:pStyle w:val="head"/>
        <w:jc w:val="both"/>
        <w:rPr>
          <w:rFonts w:ascii="Arial" w:hAnsi="Arial" w:cs="Arial"/>
          <w:b/>
          <w:bCs/>
          <w:color w:val="000000"/>
          <w:sz w:val="20"/>
          <w:szCs w:val="20"/>
        </w:rPr>
      </w:pPr>
      <w:r>
        <w:rPr>
          <w:rFonts w:ascii="Arial" w:hAnsi="Arial" w:cs="Arial"/>
          <w:b/>
          <w:bCs/>
          <w:color w:val="000000"/>
          <w:sz w:val="20"/>
          <w:szCs w:val="20"/>
        </w:rPr>
        <w:t>Central Payments Fraud Information Registry – Migration of Reporting to DAKSH</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As announced in the </w:t>
      </w:r>
      <w:hyperlink r:id="rId17" w:tgtFrame="_blank" w:history="1">
        <w:r>
          <w:rPr>
            <w:rStyle w:val="Hyperlink"/>
            <w:rFonts w:ascii="Arial" w:hAnsi="Arial" w:cs="Arial"/>
            <w:sz w:val="20"/>
            <w:szCs w:val="20"/>
          </w:rPr>
          <w:t>Monetary Policy Statement 2019-20 on August 07, 2019</w:t>
        </w:r>
      </w:hyperlink>
      <w:r>
        <w:rPr>
          <w:rFonts w:ascii="Arial" w:hAnsi="Arial" w:cs="Arial"/>
          <w:color w:val="000000"/>
          <w:sz w:val="20"/>
          <w:szCs w:val="20"/>
        </w:rPr>
        <w:t>, the Reserve Bank of India (RBI) had operationalised the Central Payments Fraud Information Registry (CPFIR) in March 2020 with reporting of payment frauds by scheduled commercial banks and non-bank Prepaid Payment Instrument (PPI) issuers.</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2. To streamline reporting, enhance efficiency and automate the payments fraud management process, the fraud reporting module is being migrated to </w:t>
      </w:r>
      <w:hyperlink r:id="rId18" w:anchor="/login" w:tgtFrame="_blank" w:history="1">
        <w:r>
          <w:rPr>
            <w:rStyle w:val="Hyperlink"/>
            <w:rFonts w:ascii="Arial" w:hAnsi="Arial" w:cs="Arial"/>
            <w:sz w:val="20"/>
            <w:szCs w:val="20"/>
          </w:rPr>
          <w:t>DAKSH – Reserve Bank’s Advanced Supervisory Monitoring System</w:t>
        </w:r>
      </w:hyperlink>
      <w:r>
        <w:rPr>
          <w:rFonts w:ascii="Arial" w:hAnsi="Arial" w:cs="Arial"/>
          <w:color w:val="000000"/>
          <w:sz w:val="20"/>
          <w:szCs w:val="20"/>
        </w:rPr>
        <w:t>. The migration will be effective from </w:t>
      </w:r>
      <w:r>
        <w:rPr>
          <w:rStyle w:val="head1"/>
          <w:rFonts w:ascii="Arial" w:hAnsi="Arial" w:cs="Arial"/>
          <w:b/>
          <w:bCs/>
          <w:color w:val="000000"/>
          <w:sz w:val="20"/>
          <w:szCs w:val="20"/>
        </w:rPr>
        <w:t>January 01, 2023</w:t>
      </w:r>
      <w:r>
        <w:rPr>
          <w:rFonts w:ascii="Arial" w:hAnsi="Arial" w:cs="Arial"/>
          <w:color w:val="000000"/>
          <w:sz w:val="20"/>
          <w:szCs w:val="20"/>
        </w:rPr>
        <w:t>, i.e., entities shall commence reporting of payment frauds in DAKSH from this date. In addition to the existing bulk upload facility to report payment frauds, DAKSH provides additional functionalities, viz. maker-checker facility, online screen-based reporting, option for requesting additional information, facility to issue alerts / advisories, generation of dashboards and reports, etc. The reporting guidelines are mentioned in the </w:t>
      </w:r>
      <w:hyperlink r:id="rId19" w:anchor="AN1" w:history="1">
        <w:r>
          <w:rPr>
            <w:rStyle w:val="Hyperlink"/>
            <w:rFonts w:ascii="Arial" w:hAnsi="Arial" w:cs="Arial"/>
            <w:sz w:val="20"/>
            <w:szCs w:val="20"/>
          </w:rPr>
          <w:t>Annex</w:t>
        </w:r>
      </w:hyperlink>
      <w:r>
        <w:rPr>
          <w:rFonts w:ascii="Arial" w:hAnsi="Arial" w:cs="Arial"/>
          <w:color w:val="000000"/>
          <w:sz w:val="20"/>
          <w:szCs w:val="20"/>
        </w:rPr>
        <w:t>.</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3. These directions are issued under Section 10 (2) read with Section 18 of Payment and settlement Systems Act, 2007 (Act 51 of 2007).</w:t>
      </w:r>
    </w:p>
    <w:p w:rsidR="0036265F" w:rsidRDefault="0036265F" w:rsidP="0036265F">
      <w:pPr>
        <w:pStyle w:val="NormalWeb"/>
        <w:jc w:val="both"/>
        <w:rPr>
          <w:rFonts w:ascii="Arial" w:hAnsi="Arial" w:cs="Arial"/>
          <w:color w:val="000000"/>
          <w:sz w:val="20"/>
          <w:szCs w:val="20"/>
        </w:rPr>
      </w:pPr>
      <w:r>
        <w:rPr>
          <w:rFonts w:ascii="Arial" w:hAnsi="Arial" w:cs="Arial"/>
          <w:color w:val="000000"/>
          <w:sz w:val="20"/>
          <w:szCs w:val="20"/>
        </w:rPr>
        <w:t>Yours faithfully,</w:t>
      </w:r>
    </w:p>
    <w:p w:rsidR="0036265F" w:rsidRDefault="0036265F" w:rsidP="0036265F">
      <w:pPr>
        <w:pStyle w:val="NormalWeb"/>
        <w:rPr>
          <w:rFonts w:ascii="Arial" w:hAnsi="Arial" w:cs="Arial"/>
          <w:color w:val="000000"/>
          <w:sz w:val="20"/>
          <w:szCs w:val="20"/>
        </w:rPr>
      </w:pPr>
      <w:r>
        <w:rPr>
          <w:rFonts w:ascii="Arial" w:hAnsi="Arial" w:cs="Arial"/>
          <w:color w:val="000000"/>
          <w:sz w:val="20"/>
          <w:szCs w:val="20"/>
        </w:rPr>
        <w:t xml:space="preserve">(P. </w:t>
      </w:r>
      <w:proofErr w:type="spellStart"/>
      <w:r>
        <w:rPr>
          <w:rFonts w:ascii="Arial" w:hAnsi="Arial" w:cs="Arial"/>
          <w:color w:val="000000"/>
          <w:sz w:val="20"/>
          <w:szCs w:val="20"/>
        </w:rPr>
        <w:t>Vasudevan</w:t>
      </w:r>
      <w:proofErr w:type="spellEnd"/>
      <w:r>
        <w:rPr>
          <w:rFonts w:ascii="Arial" w:hAnsi="Arial" w:cs="Arial"/>
          <w:color w:val="000000"/>
          <w:sz w:val="20"/>
          <w:szCs w:val="20"/>
        </w:rPr>
        <w:t>)</w:t>
      </w:r>
      <w:r>
        <w:rPr>
          <w:rFonts w:ascii="Arial" w:hAnsi="Arial" w:cs="Arial"/>
          <w:color w:val="000000"/>
          <w:sz w:val="20"/>
          <w:szCs w:val="20"/>
        </w:rPr>
        <w:br/>
        <w:t>Chief General Manager</w:t>
      </w:r>
    </w:p>
    <w:p w:rsidR="0036265F" w:rsidRDefault="0036265F" w:rsidP="0036265F">
      <w:pPr>
        <w:spacing w:line="259" w:lineRule="auto"/>
        <w:rPr>
          <w:rFonts w:ascii="Arial" w:hAnsi="Arial" w:cs="Arial"/>
          <w:sz w:val="20"/>
          <w:szCs w:val="20"/>
        </w:rPr>
      </w:pPr>
    </w:p>
    <w:p w:rsidR="0036265F" w:rsidRDefault="0036265F" w:rsidP="0036265F">
      <w:pPr>
        <w:spacing w:line="259" w:lineRule="auto"/>
        <w:rPr>
          <w:rFonts w:ascii="Arial" w:hAnsi="Arial" w:cs="Arial"/>
          <w:sz w:val="20"/>
          <w:szCs w:val="20"/>
        </w:rPr>
      </w:pPr>
    </w:p>
    <w:p w:rsidR="0036265F" w:rsidRDefault="0036265F" w:rsidP="0036265F">
      <w:r>
        <w:t>More details can be referred to in the below link.</w:t>
      </w:r>
    </w:p>
    <w:p w:rsidR="0036265F" w:rsidRDefault="0036265F" w:rsidP="0036265F">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20" w:history="1">
        <w:r w:rsidRPr="00B27270">
          <w:rPr>
            <w:rStyle w:val="Hyperlink"/>
            <w:rFonts w:ascii="Arial" w:hAnsi="Arial" w:cs="Arial"/>
            <w:bCs/>
            <w:sz w:val="20"/>
            <w:szCs w:val="20"/>
          </w:rPr>
          <w:t>https://m.rbi.org.in/scripts/FS_Notification.aspx?Id=12431&amp;fn=9&amp;Mode=0</w:t>
        </w:r>
      </w:hyperlink>
    </w:p>
    <w:p w:rsidR="0036265F" w:rsidRDefault="0036265F" w:rsidP="00DE6119">
      <w:pPr>
        <w:pStyle w:val="NormalWeb"/>
        <w:rPr>
          <w:rFonts w:ascii="Arial" w:hAnsi="Arial" w:cs="Arial"/>
          <w:b/>
          <w:bCs/>
          <w:color w:val="000000"/>
          <w:sz w:val="20"/>
          <w:szCs w:val="20"/>
        </w:rPr>
      </w:pPr>
    </w:p>
    <w:sectPr w:rsidR="003626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26"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5"/>
  </w:num>
  <w:num w:numId="7">
    <w:abstractNumId w:val="20"/>
  </w:num>
  <w:num w:numId="8">
    <w:abstractNumId w:val="1"/>
  </w:num>
  <w:num w:numId="9">
    <w:abstractNumId w:val="0"/>
  </w:num>
  <w:num w:numId="10">
    <w:abstractNumId w:val="14"/>
  </w:num>
  <w:num w:numId="11">
    <w:abstractNumId w:val="12"/>
  </w:num>
  <w:num w:numId="12">
    <w:abstractNumId w:val="2"/>
  </w:num>
  <w:num w:numId="13">
    <w:abstractNumId w:val="11"/>
  </w:num>
  <w:num w:numId="14">
    <w:abstractNumId w:val="19"/>
  </w:num>
  <w:num w:numId="15">
    <w:abstractNumId w:val="27"/>
  </w:num>
  <w:num w:numId="16">
    <w:abstractNumId w:val="3"/>
  </w:num>
  <w:num w:numId="17">
    <w:abstractNumId w:val="16"/>
  </w:num>
  <w:num w:numId="18">
    <w:abstractNumId w:val="10"/>
  </w:num>
  <w:num w:numId="19">
    <w:abstractNumId w:val="9"/>
  </w:num>
  <w:num w:numId="20">
    <w:abstractNumId w:val="15"/>
  </w:num>
  <w:num w:numId="21">
    <w:abstractNumId w:val="8"/>
  </w:num>
  <w:num w:numId="22">
    <w:abstractNumId w:val="24"/>
  </w:num>
  <w:num w:numId="23">
    <w:abstractNumId w:val="6"/>
  </w:num>
  <w:num w:numId="24">
    <w:abstractNumId w:val="13"/>
  </w:num>
  <w:num w:numId="25">
    <w:abstractNumId w:val="5"/>
  </w:num>
  <w:num w:numId="26">
    <w:abstractNumId w:val="21"/>
  </w:num>
  <w:num w:numId="27">
    <w:abstractNumId w:val="4"/>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C6A0B"/>
    <w:rsid w:val="000F6CB6"/>
    <w:rsid w:val="00121B22"/>
    <w:rsid w:val="00147837"/>
    <w:rsid w:val="00166E3C"/>
    <w:rsid w:val="001747A0"/>
    <w:rsid w:val="001B0D06"/>
    <w:rsid w:val="001E7AD4"/>
    <w:rsid w:val="001F219E"/>
    <w:rsid w:val="002313C4"/>
    <w:rsid w:val="00245B30"/>
    <w:rsid w:val="002A3764"/>
    <w:rsid w:val="002C55B6"/>
    <w:rsid w:val="0036265F"/>
    <w:rsid w:val="00435B25"/>
    <w:rsid w:val="00436D36"/>
    <w:rsid w:val="0045114B"/>
    <w:rsid w:val="004D6B44"/>
    <w:rsid w:val="004E718A"/>
    <w:rsid w:val="00581BDE"/>
    <w:rsid w:val="00583041"/>
    <w:rsid w:val="005A38FC"/>
    <w:rsid w:val="005D5DB2"/>
    <w:rsid w:val="006356D2"/>
    <w:rsid w:val="00645D84"/>
    <w:rsid w:val="0068363E"/>
    <w:rsid w:val="006C5648"/>
    <w:rsid w:val="00706A14"/>
    <w:rsid w:val="00710775"/>
    <w:rsid w:val="00744532"/>
    <w:rsid w:val="00745312"/>
    <w:rsid w:val="008462A3"/>
    <w:rsid w:val="0085415B"/>
    <w:rsid w:val="00912551"/>
    <w:rsid w:val="009126BF"/>
    <w:rsid w:val="009B54D0"/>
    <w:rsid w:val="009F305B"/>
    <w:rsid w:val="00A32EAB"/>
    <w:rsid w:val="00A410BB"/>
    <w:rsid w:val="00A76041"/>
    <w:rsid w:val="00B1420D"/>
    <w:rsid w:val="00B46998"/>
    <w:rsid w:val="00B71788"/>
    <w:rsid w:val="00BF2165"/>
    <w:rsid w:val="00C754F7"/>
    <w:rsid w:val="00C8671B"/>
    <w:rsid w:val="00C93B49"/>
    <w:rsid w:val="00CE14AF"/>
    <w:rsid w:val="00CF0868"/>
    <w:rsid w:val="00CF340B"/>
    <w:rsid w:val="00DB2DA3"/>
    <w:rsid w:val="00DB76CD"/>
    <w:rsid w:val="00DE227F"/>
    <w:rsid w:val="00DE6119"/>
    <w:rsid w:val="00E0459A"/>
    <w:rsid w:val="00EC5CE1"/>
    <w:rsid w:val="00EC7DEE"/>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6EA3"/>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448360714">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896934191">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470781014">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371&amp;Mode=0" TargetMode="External"/><Relationship Id="rId13" Type="http://schemas.openxmlformats.org/officeDocument/2006/relationships/hyperlink" Target="https://www.rbi.org.in/Scripts/NotificationUser.aspx?Id=8832&amp;Mode=0" TargetMode="External"/><Relationship Id="rId18" Type="http://schemas.openxmlformats.org/officeDocument/2006/relationships/hyperlink" Target="https://prism.rbi.org.in/DAKSH/port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rbidocs.rbi.org.in/rdocs/content/pdfs/RBIOS2021_amendments05082022.pdf" TargetMode="External"/><Relationship Id="rId12" Type="http://schemas.openxmlformats.org/officeDocument/2006/relationships/hyperlink" Target="https://rbi.org.in/Scripts/BS_CircularIndexDisplay.aspx?Id=12382" TargetMode="External"/><Relationship Id="rId17" Type="http://schemas.openxmlformats.org/officeDocument/2006/relationships/hyperlink" Target="https://m.rbi.org.in/Scripts/BS_PressReleaseDisplay.aspx?prid=47819" TargetMode="External"/><Relationship Id="rId2" Type="http://schemas.openxmlformats.org/officeDocument/2006/relationships/numbering" Target="numbering.xml"/><Relationship Id="rId16" Type="http://schemas.openxmlformats.org/officeDocument/2006/relationships/hyperlink" Target="https://www.rbi.org.in/scripts/NotificationUser.aspx?Id=12386&amp;Mode=0" TargetMode="External"/><Relationship Id="rId20" Type="http://schemas.openxmlformats.org/officeDocument/2006/relationships/hyperlink" Target="https://m.rbi.org.in/scripts/FS_Notification.aspx?Id=12431&amp;fn=9&amp;Mode=0" TargetMode="External"/><Relationship Id="rId1" Type="http://schemas.openxmlformats.org/officeDocument/2006/relationships/customXml" Target="../customXml/item1.xml"/><Relationship Id="rId6" Type="http://schemas.openxmlformats.org/officeDocument/2006/relationships/hyperlink" Target="https://www.rbi.org.in/Scripts/NotificationUser.aspx?Id=12192&amp;Mode=0" TargetMode="External"/><Relationship Id="rId11" Type="http://schemas.openxmlformats.org/officeDocument/2006/relationships/hyperlink" Target="https://rbi.org.in/Scripts/BS_CircularIndexDisplay.aspx?Id=12382" TargetMode="External"/><Relationship Id="rId5" Type="http://schemas.openxmlformats.org/officeDocument/2006/relationships/webSettings" Target="webSettings.xml"/><Relationship Id="rId15" Type="http://schemas.openxmlformats.org/officeDocument/2006/relationships/hyperlink" Target="https://rbi.org.in/Scripts/NotificationUser.aspx?Id=8832&amp;Mode=0" TargetMode="External"/><Relationship Id="rId10" Type="http://schemas.openxmlformats.org/officeDocument/2006/relationships/hyperlink" Target="https://rbi.org.in/Scripts/BS_CircularIndexDisplay.aspx?Id=12382" TargetMode="External"/><Relationship Id="rId19" Type="http://schemas.openxmlformats.org/officeDocument/2006/relationships/hyperlink" Target="https://m.rbi.org.in/scripts/FS_Notification.aspx?Id=12431&amp;fn=9&amp;Mode=0" TargetMode="External"/><Relationship Id="rId4" Type="http://schemas.openxmlformats.org/officeDocument/2006/relationships/settings" Target="settings.xml"/><Relationship Id="rId9" Type="http://schemas.openxmlformats.org/officeDocument/2006/relationships/hyperlink" Target="https://www.rbi.org.in/Scripts/BS_PressReleaseDisplay.aspx?prid=54187" TargetMode="External"/><Relationship Id="rId14" Type="http://schemas.openxmlformats.org/officeDocument/2006/relationships/hyperlink" Target="https://rbi.org.in/Scripts/BS_PressReleaseDisplay.aspx?prid=5414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C70FF-ECEA-44B8-9E26-B634870D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6</cp:revision>
  <dcterms:created xsi:type="dcterms:W3CDTF">2023-02-28T07:20:00Z</dcterms:created>
  <dcterms:modified xsi:type="dcterms:W3CDTF">2023-02-28T07:26:00Z</dcterms:modified>
</cp:coreProperties>
</file>